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A994" w14:textId="77777777" w:rsidR="00B0268E" w:rsidRPr="00B0268E" w:rsidRDefault="00B0268E" w:rsidP="00B0268E">
      <w:pPr>
        <w:shd w:val="clear" w:color="auto" w:fill="FFFFFF"/>
        <w:spacing w:after="210" w:line="240" w:lineRule="auto"/>
        <w:outlineLvl w:val="0"/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</w:rPr>
        <w:t>Innkjøp av elektroniske system</w:t>
      </w:r>
    </w:p>
    <w:p w14:paraId="7353B8EB" w14:textId="74AF1932" w:rsidR="00B0268E" w:rsidRPr="00B0268E" w:rsidRDefault="00B0268E" w:rsidP="00B0268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</w:p>
    <w:p w14:paraId="6DEA11E5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Innkjøp av elektroniske fagsystem</w:t>
      </w:r>
    </w:p>
    <w:p w14:paraId="47BD6837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Bakgrunn for retningslinjene</w:t>
      </w:r>
    </w:p>
    <w:p w14:paraId="4853E0B8" w14:textId="58B0B7ED" w:rsidR="00B0268E" w:rsidRPr="00B0268E" w:rsidRDefault="007E5AA7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Deanu </w:t>
      </w:r>
      <w:proofErr w:type="spellStart"/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gielda</w:t>
      </w:r>
      <w:proofErr w:type="spellEnd"/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– Tana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kommune har plikt til å arkivere alle dokument som blir til i kommunens virksomhet, dersom de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har verdi som dokumentasjon eller er gjenstand for sakshandsaming. Arkiveringsplikta gjeld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uavhengig om dokumenta er utveksl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et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med eksterne eller er utarbeid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et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 internt bruk. Dokumentet er teknologinøytralt, det er innh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ldet og ikke formatet som avgj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ø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om dokumentet skal bevar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es.</w:t>
      </w:r>
    </w:p>
    <w:p w14:paraId="54E0CB68" w14:textId="5554DA05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betydel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 mengd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av kommunens arkivmateriale blir h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å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ndtert i elektroniske system. Det er derfor viktig at denne retningslinj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blir fulgt for å sikre at kommunen følger arkivlova og andre relevante lover (forvaltningslov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en,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offent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lighetsloven,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personopplysningslov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,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etc.)</w:t>
      </w:r>
    </w:p>
    <w:p w14:paraId="4EE84972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Målgruppe</w:t>
      </w:r>
    </w:p>
    <w:p w14:paraId="40566D23" w14:textId="389F2AF6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Målgruppa for denne 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retningslinjen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 alle som tar initiativ til, deltar i og gjennomfører innkjøp av elektroniske arkivsystem.</w:t>
      </w:r>
    </w:p>
    <w:p w14:paraId="4EA59F92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Ansvarsfordeling</w:t>
      </w:r>
    </w:p>
    <w:p w14:paraId="42E7854C" w14:textId="5B678327" w:rsidR="00B0268E" w:rsidRPr="00B0268E" w:rsidRDefault="00A85014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 xml:space="preserve">Kommunedirektøren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har det overordna ansvaret for kommunens arkiv.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  <w:r w:rsidR="00B0268E"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Arkivle</w:t>
      </w:r>
      <w:r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der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har det fagl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ge ansvaret for arkivforvaltninga i kommunen, herunder fagsystem. 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  <w:r w:rsidR="00B0268E"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IKT-sjef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skal involver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 i alle innkjøp av IKT-System. 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  <w:r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 xml:space="preserve">Virksomhetsleder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har ansvaret for å tilrettelegge forhold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ene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 si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n avdeling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lik at arbeidet kan 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utføres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 henh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ld til gjeld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nde lover, regl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og rutiner. 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  <w:r w:rsidR="00B0268E"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Systemansvarl</w:t>
      </w:r>
      <w:r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 xml:space="preserve">ig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 arkivsystemet er ansvarl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 for den dagl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ge drifta. 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</w:r>
      <w:r w:rsidR="00B0268E"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Bruk</w:t>
      </w:r>
      <w:r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 xml:space="preserve">erne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av systemet er ansvarl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ge for å set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 seg inn i og forholde seg til de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rutiner og retningslinjer som gjeld</w:t>
      </w:r>
      <w:r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er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 bruk av arkivsyst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met.</w:t>
      </w:r>
    </w:p>
    <w:p w14:paraId="46F1859B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</w:p>
    <w:p w14:paraId="3A9F72B6" w14:textId="22459EF4" w:rsidR="00B0268E" w:rsidRPr="00B0268E" w:rsidRDefault="00A85014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 xml:space="preserve">Hva </w:t>
      </w:r>
      <w:r w:rsidR="00B0268E"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er elektronisk fagsystem?</w:t>
      </w:r>
    </w:p>
    <w:p w14:paraId="12007D12" w14:textId="3F1DB018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Begrepet fagsystem blir brukt om fle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forskjellige system. Dette kan v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æ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re 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saksbehandlingss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ystem, s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tøttesystem og register. Et fagsystem h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å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ndterer en eller no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få 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saksbehandlingsprosesser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gjerne knytt til 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særlovgiving.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Behovet for å 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behandle et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betydel</w:t>
      </w:r>
      <w:r w:rsidR="00A8501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g antall saker med hensyn til saksgang, arbeidsprosedyrer og kriterier for vedtak utg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jør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bakgrunnen for innkjøp av ulike system.</w:t>
      </w:r>
    </w:p>
    <w:p w14:paraId="37CAE3EC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</w:p>
    <w:p w14:paraId="7D969A0A" w14:textId="4746C115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Regl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r for innkjøp</w:t>
      </w:r>
    </w:p>
    <w:p w14:paraId="15A07283" w14:textId="333CDA58" w:rsidR="00B0268E" w:rsidRPr="00B0268E" w:rsidRDefault="00B0268E" w:rsidP="00B02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lastRenderedPageBreak/>
        <w:t>Alle som vurderer å ta i bruk nye elektroniske fagsystem plikt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 å sjekke om systemet oppfyller alle 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nødvendige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krav i forhold til arkivlov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og andre relevante lov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r.</w:t>
      </w:r>
    </w:p>
    <w:p w14:paraId="4755CF40" w14:textId="7474F76A" w:rsidR="00B0268E" w:rsidRPr="00B0268E" w:rsidRDefault="00B0268E" w:rsidP="00B02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IKT-Sjef og arkivle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må konsulter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 for bistand til vurdering av systemet før kontrakt inngås.</w:t>
      </w:r>
    </w:p>
    <w:p w14:paraId="41FCA4EA" w14:textId="77777777" w:rsidR="00B0268E" w:rsidRPr="00B0268E" w:rsidRDefault="00B0268E" w:rsidP="00B02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IKT-Sjef skal godkjenne alle innkjøp av IKT-system</w:t>
      </w:r>
    </w:p>
    <w:p w14:paraId="144F769C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</w:p>
    <w:p w14:paraId="4785EABB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Krav til elektroniske fagsystem</w:t>
      </w:r>
    </w:p>
    <w:p w14:paraId="778ADA47" w14:textId="07B4FC85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Registrering av saksdokument skal normalt skje i 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et </w:t>
      </w:r>
      <w:proofErr w:type="spellStart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Noark</w:t>
      </w:r>
      <w:proofErr w:type="spellEnd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-system</w:t>
      </w:r>
    </w:p>
    <w:p w14:paraId="24E4C789" w14:textId="7FA0F8EE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Elektronisk arkivering av saksdokument forutsett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bruk av fullgode system, rutiner, dokumentlagringsformat og lagringsmedium som er godkjent av Riksarkivaren</w:t>
      </w:r>
    </w:p>
    <w:p w14:paraId="77C7A26A" w14:textId="4A677AD8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Opplysning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r, dokument og register som inngår i fagsystem skal 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behandles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 tråd med arkiverings- og journalføringsplikt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</w:t>
      </w:r>
    </w:p>
    <w:p w14:paraId="40AEBFEF" w14:textId="2194F2E2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Systemet må ta hø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y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de for krav i personopplysningslov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</w:t>
      </w:r>
    </w:p>
    <w:p w14:paraId="0B05FE62" w14:textId="1AFA6A03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Systemet skal v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æ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re godt nok dokumentert til at materialet kan bruk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 også etter overføring til arkivdepot, og dokumentasjonen skal inngå i arkivplanen</w:t>
      </w:r>
    </w:p>
    <w:p w14:paraId="7FFC9ECF" w14:textId="066C4B5B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Opplysning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som ikke lenger er aktuelle, skal ikke slett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ut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 at Riksarkivaren har gitt samtykke til kassasjon – Arkivle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der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kontakt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</w:t>
      </w:r>
    </w:p>
    <w:p w14:paraId="196567A8" w14:textId="673EBFB8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Systemet skal kunne eksportere </w:t>
      </w:r>
      <w:proofErr w:type="spellStart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datau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tt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rekk</w:t>
      </w:r>
      <w:proofErr w:type="spellEnd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der saksdokument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 knytt til overordna tabell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i samsvar med bestemmelsene i Riksarkivarens forskrift</w:t>
      </w:r>
    </w:p>
    <w:p w14:paraId="624666A1" w14:textId="270AA21C" w:rsidR="00B0268E" w:rsidRPr="00B0268E" w:rsidRDefault="00B0268E" w:rsidP="00B02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Har fags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ystemet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en egen brevjournalmodul som man skal ta i bruk, skal man på f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orhånd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sikre seg om at denne har fullverdige arkivfu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nksjoner</w:t>
      </w:r>
    </w:p>
    <w:p w14:paraId="41DC1D15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</w:p>
    <w:p w14:paraId="34548C5E" w14:textId="2C40382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Krav om jou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nalføring</w:t>
      </w:r>
    </w:p>
    <w:p w14:paraId="2A99AE8B" w14:textId="7BA962CC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Systemet må kunne registrere obligatoriske journalopplysning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etter arkivforskrift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§10:</w:t>
      </w:r>
    </w:p>
    <w:p w14:paraId="64C9CD68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Journalføringsdato</w:t>
      </w:r>
    </w:p>
    <w:p w14:paraId="2CD9F07D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Saks- og dokumentnummer</w:t>
      </w:r>
    </w:p>
    <w:p w14:paraId="3FEBBFDB" w14:textId="4DEF9A7B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Na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v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 på avsend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og mottak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</w:t>
      </w:r>
    </w:p>
    <w:p w14:paraId="522C033C" w14:textId="1D7F17FD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Opplysning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 om sak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</w:t>
      </w:r>
    </w:p>
    <w:p w14:paraId="7D84E3FE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Dokumentdato</w:t>
      </w:r>
    </w:p>
    <w:p w14:paraId="6E2B8740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Klasse etter kommunens ordning for klassifikasjon</w:t>
      </w:r>
    </w:p>
    <w:p w14:paraId="16F08562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Ekspedisjons- eller avskrivingsdato</w:t>
      </w:r>
    </w:p>
    <w:p w14:paraId="2439C011" w14:textId="77777777" w:rsidR="00B0268E" w:rsidRPr="00B0268E" w:rsidRDefault="00B0268E" w:rsidP="00B02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Avskrivingsmåte</w:t>
      </w:r>
    </w:p>
    <w:p w14:paraId="568A203F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</w:p>
    <w:p w14:paraId="0C03E316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Forhold til kommunens arkivplan</w:t>
      </w:r>
    </w:p>
    <w:p w14:paraId="0C2B8070" w14:textId="1D20CBDF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Kommunens arkivle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der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har ansvaret for at kommunen til e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nhver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tid har ajourført arkivplan. Det er 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derfor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viktig at vedkom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mende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mottar relevant opplysning om fagsystemet.</w:t>
      </w:r>
    </w:p>
    <w:p w14:paraId="7BEAFA10" w14:textId="0F856404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 å identifisere bevaringsverdig informasjon</w:t>
      </w:r>
      <w:r w:rsidRPr="00B0268E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 skal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agsystem </w:t>
      </w:r>
      <w:r w:rsidR="00D6100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være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slik at man forstår innh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oldet,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saks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behandlinga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og systemets oppbygging. Systemarkitektur, funksjon, formål, arkivdanning, informasjon, innh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old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og grensesnitt mot andre system.</w:t>
      </w:r>
    </w:p>
    <w:p w14:paraId="00882C8E" w14:textId="5D9C842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lastRenderedPageBreak/>
        <w:t>I tillegg skal følg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nde utarbeid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es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og 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inkluderes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arkivplan for systemer med bevaringsverdig arkivmateriale: Instruks som beskriver ansvar, rutiner og rettigheter knytt til oppretting, mottak, utveksling, vedlikeh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ld og bruk av arkivdokument – Instruksen lag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før systemet tas i bruk.</w:t>
      </w:r>
    </w:p>
    <w:p w14:paraId="0321F711" w14:textId="0CB0480F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Følg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ende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skal beskriv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es:</w:t>
      </w:r>
    </w:p>
    <w:p w14:paraId="490FF27C" w14:textId="4F28FD63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Ansvar for tildeling/vedl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ikehold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av bruk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errettigheter</w:t>
      </w:r>
    </w:p>
    <w:p w14:paraId="03D663F1" w14:textId="77777777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Beskrivelse av roller og rettigheter/plikter knytt til rollene</w:t>
      </w:r>
    </w:p>
    <w:p w14:paraId="52C4B418" w14:textId="59F08036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Autentisering/signering av dokument, samt regl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og rutiner for dette</w:t>
      </w:r>
    </w:p>
    <w:p w14:paraId="5F3DE89D" w14:textId="77777777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Ansvar/rutiner for kvalitetssikring</w:t>
      </w:r>
    </w:p>
    <w:p w14:paraId="6511BE74" w14:textId="77777777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Ansvarsforhold og prosedyre for registrering, journalføring og arkivering</w:t>
      </w:r>
    </w:p>
    <w:p w14:paraId="74C445CC" w14:textId="77777777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Prosedyrer for registrering og arkivering til bruk dersom systemet er ute av drift.</w:t>
      </w:r>
    </w:p>
    <w:p w14:paraId="28B6A543" w14:textId="77777777" w:rsidR="00B0268E" w:rsidRPr="00B0268E" w:rsidRDefault="00B0268E" w:rsidP="00B02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Rutiner som definerer ansvar for:</w:t>
      </w:r>
    </w:p>
    <w:p w14:paraId="01EEC273" w14:textId="77777777" w:rsidR="00B0268E" w:rsidRPr="00B0268E" w:rsidRDefault="00B0268E" w:rsidP="00B0268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Fordeling av dokument</w:t>
      </w:r>
    </w:p>
    <w:p w14:paraId="3FA677B7" w14:textId="57D80E0E" w:rsidR="00B0268E" w:rsidRPr="00B0268E" w:rsidRDefault="00B0268E" w:rsidP="00B0268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Retting av register- og arkivopplysni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nger</w:t>
      </w:r>
    </w:p>
    <w:p w14:paraId="704B7B53" w14:textId="77777777" w:rsidR="00B0268E" w:rsidRPr="00B0268E" w:rsidRDefault="00B0268E" w:rsidP="00B0268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Avskriving/ferdigstilling av dokument</w:t>
      </w:r>
    </w:p>
    <w:p w14:paraId="1AC719D0" w14:textId="2E83AE7D" w:rsidR="00B0268E" w:rsidRPr="00B0268E" w:rsidRDefault="00B0268E" w:rsidP="00B0268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Vurdering av spørsmål 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som vedrører offentlighet</w:t>
      </w:r>
    </w:p>
    <w:p w14:paraId="63360160" w14:textId="70F9579E" w:rsidR="00B0268E" w:rsidRPr="00B0268E" w:rsidRDefault="00B0268E" w:rsidP="00B0268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Registrering av unntak for offen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tligheten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og h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jemmel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for dette</w:t>
      </w:r>
    </w:p>
    <w:p w14:paraId="02C82B44" w14:textId="48C1AC40" w:rsidR="00B0268E" w:rsidRPr="00B0268E" w:rsidRDefault="00B0268E" w:rsidP="00E07F72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Skjema fylles ut og send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 til arkivle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der:</w:t>
      </w:r>
      <w:r w:rsidR="00E07F72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 xml:space="preserve"> S</w:t>
      </w:r>
      <w:r w:rsidR="00E07F72" w:rsidRPr="00E07F72">
        <w:rPr>
          <w:rFonts w:ascii="Open Sans" w:eastAsia="Times New Roman" w:hAnsi="Open Sans" w:cs="Open Sans"/>
          <w:b/>
          <w:bCs/>
          <w:color w:val="3C3D48"/>
          <w:sz w:val="21"/>
          <w:szCs w:val="21"/>
          <w:lang w:eastAsia="nb-NO"/>
        </w:rPr>
        <w:t>ett inn lenke til skjemaet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</w:t>
      </w:r>
    </w:p>
    <w:p w14:paraId="66A6508B" w14:textId="5CAFF2B8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Elektroniske system som inneh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older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saksdokument, bør a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llerede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ved implementering ha eksportfunksjoner som sikrer at bevaringsverdig materiale kan 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avleveres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til arkivdepot på e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t eget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agringsformat og med fullgod dokumentasjon.</w:t>
      </w:r>
    </w:p>
    <w:p w14:paraId="156CD69D" w14:textId="28A32C81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-          Dokumentasjon på 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hvordan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uttrekk skal utfør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bør følge med ved anskaffelsen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(sjekk opp dette)</w:t>
      </w:r>
    </w:p>
    <w:p w14:paraId="0B721104" w14:textId="16EF1E1E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</w:p>
    <w:p w14:paraId="320380F9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u w:val="single"/>
          <w:lang w:eastAsia="nb-NO"/>
        </w:rPr>
        <w:t>Avslutting/ Utfasing av system</w:t>
      </w:r>
    </w:p>
    <w:p w14:paraId="4B77A4FA" w14:textId="6E6322C9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Om det blir anskaffa e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system som skal erstatte e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t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anna må det gamle systemet først vurder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om det inne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holder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opplysning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r/dokumentasjon som skal bevar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es.</w:t>
      </w:r>
    </w:p>
    <w:p w14:paraId="4800E077" w14:textId="075913F9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Om det gamle systemet ikke tilfreds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till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krav</w:t>
      </w:r>
      <w:r w:rsidR="00E07F72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ene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i </w:t>
      </w:r>
      <w:proofErr w:type="spellStart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Noark</w:t>
      </w:r>
      <w:proofErr w:type="spellEnd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-standarden, skal det lag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es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et elektronisk uttrekk av data fr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a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det gamle systemet i </w:t>
      </w:r>
      <w:proofErr w:type="spellStart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SIARD</w:t>
      </w:r>
      <w:proofErr w:type="spellEnd"/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-format. Det må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gjøres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før kommunen seier opp avtaler og lisens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knytt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et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til det gamle systemet og etter at det gamle systemet har gått ut av produksjon.</w:t>
      </w:r>
    </w:p>
    <w:p w14:paraId="64B0004F" w14:textId="7F5FE6A9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Arkivuttrekket skal deretter overfør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til Interkommunalt Arkiv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Finnmark (IKAF)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etter faste prosedyrer for godkjenning. Dette skal g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jøres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via kommunens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arkivtjeneste.</w:t>
      </w:r>
    </w:p>
    <w:p w14:paraId="4F08B0B0" w14:textId="7D657AF2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Fagsystem kan ikke avslutt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eller utfas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es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ut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n at:</w:t>
      </w:r>
    </w:p>
    <w:p w14:paraId="1B6F2F8C" w14:textId="7EF36AB4" w:rsidR="00B0268E" w:rsidRPr="00B0268E" w:rsidRDefault="00B0268E" w:rsidP="00B026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Uttrek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k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er utført, levert til depot og bekrefta godkjent av arkivdepot</w:t>
      </w:r>
    </w:p>
    <w:p w14:paraId="137FDF02" w14:textId="77777777" w:rsidR="00B0268E" w:rsidRPr="00B0268E" w:rsidRDefault="00B0268E" w:rsidP="00B0268E">
      <w:pPr>
        <w:shd w:val="clear" w:color="auto" w:fill="FFFFFF"/>
        <w:spacing w:after="210" w:line="300" w:lineRule="atLeast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Eller</w:t>
      </w:r>
    </w:p>
    <w:p w14:paraId="2B9B1EB4" w14:textId="66FFBAAD" w:rsidR="00B0268E" w:rsidRPr="00B0268E" w:rsidRDefault="00B0268E" w:rsidP="00B026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lastRenderedPageBreak/>
        <w:t xml:space="preserve">Det etter kommunens bevarings- og kassasjonsplan og Riksarkivarens forskrift er fastsatt at systemet </w:t>
      </w:r>
      <w:r w:rsidR="00085784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ikke inneholder </w:t>
      </w:r>
      <w:r w:rsidRPr="00B0268E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bevaringsverdig dokumentasjon</w:t>
      </w:r>
    </w:p>
    <w:p w14:paraId="78F5A419" w14:textId="77777777" w:rsidR="00B9723C" w:rsidRPr="00B0268E" w:rsidRDefault="00B9723C" w:rsidP="00B0268E"/>
    <w:sectPr w:rsidR="00B9723C" w:rsidRPr="00B0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4CE7"/>
    <w:multiLevelType w:val="multilevel"/>
    <w:tmpl w:val="E5A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41B39"/>
    <w:multiLevelType w:val="multilevel"/>
    <w:tmpl w:val="434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D0702"/>
    <w:multiLevelType w:val="multilevel"/>
    <w:tmpl w:val="F11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464A2"/>
    <w:multiLevelType w:val="multilevel"/>
    <w:tmpl w:val="AE0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903A2"/>
    <w:multiLevelType w:val="multilevel"/>
    <w:tmpl w:val="2D2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621D0"/>
    <w:multiLevelType w:val="multilevel"/>
    <w:tmpl w:val="AC58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362909">
    <w:abstractNumId w:val="1"/>
  </w:num>
  <w:num w:numId="2" w16cid:durableId="1939290843">
    <w:abstractNumId w:val="4"/>
  </w:num>
  <w:num w:numId="3" w16cid:durableId="1752922852">
    <w:abstractNumId w:val="0"/>
  </w:num>
  <w:num w:numId="4" w16cid:durableId="754476042">
    <w:abstractNumId w:val="5"/>
  </w:num>
  <w:num w:numId="5" w16cid:durableId="923104686">
    <w:abstractNumId w:val="5"/>
    <w:lvlOverride w:ilvl="0"/>
  </w:num>
  <w:num w:numId="6" w16cid:durableId="645670332">
    <w:abstractNumId w:val="3"/>
  </w:num>
  <w:num w:numId="7" w16cid:durableId="566497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14"/>
    <w:rsid w:val="00085784"/>
    <w:rsid w:val="00137CD0"/>
    <w:rsid w:val="005D070C"/>
    <w:rsid w:val="007E5AA7"/>
    <w:rsid w:val="00A85014"/>
    <w:rsid w:val="00B0268E"/>
    <w:rsid w:val="00B9723C"/>
    <w:rsid w:val="00D61002"/>
    <w:rsid w:val="00E0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E609"/>
  <w15:chartTrackingRefBased/>
  <w15:docId w15:val="{984A4E7B-5224-4883-BC59-A434037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rkiv\Innkj&#248;p%20av%20elektroniske%20systemer\Innkj&#248;p%20av%20elektroniske%20syste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5B47-0B3E-4AC5-BF0B-D69DEB75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Innkjøp av elektroniske system</Template>
  <TotalTime>41</TotalTime>
  <Pages>4</Pages>
  <Words>1005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2</cp:revision>
  <dcterms:created xsi:type="dcterms:W3CDTF">2023-04-27T11:54:00Z</dcterms:created>
  <dcterms:modified xsi:type="dcterms:W3CDTF">2023-04-27T12:35:00Z</dcterms:modified>
</cp:coreProperties>
</file>